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7DA" w:rsidRDefault="007437DA"/>
    <w:p w:rsidR="00284D23" w:rsidRDefault="00284D23"/>
    <w:p w:rsidR="00284D23" w:rsidRDefault="00284D23"/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SO-</w:t>
      </w:r>
      <w:proofErr w:type="gramStart"/>
      <w:r>
        <w:rPr>
          <w:sz w:val="24"/>
          <w:szCs w:val="24"/>
          <w:u w:val="single"/>
        </w:rPr>
        <w:t>01  Protierozní</w:t>
      </w:r>
      <w:proofErr w:type="gramEnd"/>
      <w:r>
        <w:rPr>
          <w:sz w:val="24"/>
          <w:szCs w:val="24"/>
          <w:u w:val="single"/>
        </w:rPr>
        <w:t xml:space="preserve"> průleh PP1</w:t>
      </w:r>
    </w:p>
    <w:p w:rsidR="00284D23" w:rsidRDefault="00284D23" w:rsidP="00284D23">
      <w:pPr>
        <w:tabs>
          <w:tab w:val="left" w:pos="709"/>
          <w:tab w:val="left" w:pos="1440"/>
          <w:tab w:val="right" w:pos="9072"/>
        </w:tabs>
        <w:jc w:val="both"/>
        <w:rPr>
          <w:sz w:val="24"/>
          <w:szCs w:val="24"/>
          <w:u w:val="single"/>
        </w:rPr>
      </w:pP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jc w:val="both"/>
      </w:pPr>
      <w:r>
        <w:rPr>
          <w:sz w:val="24"/>
          <w:szCs w:val="24"/>
        </w:rPr>
        <w:tab/>
        <w:t>Nově navržený protierozní průleh o délce 137 metrů. Jedná se o kombinaci sypané hrázky s mělkým lichoběžníkovým korytem. Sypaná hrázka je v koruně široká 1,6 metrů. Svahy jsou navrženy ve sklonu 1:5. Mělký příkop je ve dně široký 1,6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metrů a je </w:t>
      </w:r>
      <w:proofErr w:type="spellStart"/>
      <w:r>
        <w:rPr>
          <w:sz w:val="24"/>
          <w:szCs w:val="24"/>
        </w:rPr>
        <w:t>vysvahován</w:t>
      </w:r>
      <w:proofErr w:type="spellEnd"/>
      <w:r>
        <w:rPr>
          <w:sz w:val="24"/>
          <w:szCs w:val="24"/>
        </w:rPr>
        <w:t xml:space="preserve"> ve sklonu 1:5. Průleh bude </w:t>
      </w:r>
      <w:proofErr w:type="spellStart"/>
      <w:r>
        <w:rPr>
          <w:sz w:val="24"/>
          <w:szCs w:val="24"/>
        </w:rPr>
        <w:t>ohumusován</w:t>
      </w:r>
      <w:proofErr w:type="spellEnd"/>
      <w:r>
        <w:rPr>
          <w:sz w:val="24"/>
          <w:szCs w:val="24"/>
        </w:rPr>
        <w:t xml:space="preserve">. </w:t>
      </w: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Zachycená voda bude odvedena nově navrženým zatrubněním DN 500 do stávajícího otevřeného příkopu. Voda je dále odváděna do stávajícího zatrub</w:t>
      </w:r>
      <w:r>
        <w:rPr>
          <w:sz w:val="24"/>
          <w:szCs w:val="24"/>
        </w:rPr>
        <w:t>n</w:t>
      </w:r>
      <w:r>
        <w:rPr>
          <w:sz w:val="24"/>
          <w:szCs w:val="24"/>
        </w:rPr>
        <w:t>ění DN 600, ve správě Obce Moravičany.</w:t>
      </w: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vtoku do navrženého zatrubnění bude umístěn vtokový objekt čelní s mříží. Dále bude umístěna jedna lomová </w:t>
      </w:r>
      <w:proofErr w:type="spellStart"/>
      <w:r>
        <w:rPr>
          <w:sz w:val="24"/>
          <w:szCs w:val="24"/>
        </w:rPr>
        <w:t>spadištní</w:t>
      </w:r>
      <w:proofErr w:type="spellEnd"/>
      <w:r>
        <w:rPr>
          <w:sz w:val="24"/>
          <w:szCs w:val="24"/>
        </w:rPr>
        <w:t xml:space="preserve"> šachta DN 1000. V místě zaústění do stávajícího otevřeného příkopu bude umístěno výtokové čelo a koryto příkopu bude opevněno kamennou dlažbou do betonového lože. Otevřený příkop až po vtok do zatrubnění bude pročištěn.</w:t>
      </w: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Z důvodu nízkého kr</w:t>
      </w:r>
      <w:r>
        <w:rPr>
          <w:sz w:val="24"/>
          <w:szCs w:val="24"/>
        </w:rPr>
        <w:t>y</w:t>
      </w:r>
      <w:r>
        <w:rPr>
          <w:sz w:val="24"/>
          <w:szCs w:val="24"/>
        </w:rPr>
        <w:t>tí nad stávající komunikací, je nutno navýšit okolní terén.</w:t>
      </w: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Navržený průleh zachytí srážku, odpovídající Q</w:t>
      </w:r>
      <w:r>
        <w:rPr>
          <w:sz w:val="24"/>
          <w:szCs w:val="24"/>
          <w:vertAlign w:val="subscript"/>
        </w:rPr>
        <w:t>20</w:t>
      </w:r>
      <w:r>
        <w:rPr>
          <w:sz w:val="24"/>
          <w:szCs w:val="24"/>
        </w:rPr>
        <w:t xml:space="preserve"> = 2621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Zatrubnění DN 500 provede průtočné množství odpovídající Q</w:t>
      </w:r>
      <w:r>
        <w:rPr>
          <w:sz w:val="24"/>
          <w:szCs w:val="24"/>
          <w:vertAlign w:val="subscript"/>
        </w:rPr>
        <w:t>50</w:t>
      </w:r>
      <w:r>
        <w:rPr>
          <w:sz w:val="24"/>
          <w:szCs w:val="24"/>
        </w:rPr>
        <w:t xml:space="preserve"> = 0,50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s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.</w:t>
      </w: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</w:rPr>
      </w:pPr>
    </w:p>
    <w:p w:rsidR="00284D23" w:rsidRDefault="00284D23" w:rsidP="00284D23">
      <w:pPr>
        <w:tabs>
          <w:tab w:val="left" w:pos="426"/>
          <w:tab w:val="left" w:pos="709"/>
          <w:tab w:val="right" w:pos="9072"/>
        </w:tabs>
        <w:ind w:firstLine="426"/>
        <w:jc w:val="both"/>
        <w:rPr>
          <w:sz w:val="24"/>
          <w:szCs w:val="24"/>
          <w:shd w:val="clear" w:color="auto" w:fill="FFFF00"/>
        </w:rPr>
      </w:pPr>
      <w:r>
        <w:rPr>
          <w:sz w:val="24"/>
          <w:szCs w:val="24"/>
        </w:rPr>
        <w:t>Dojde ke střetu s melioračním odvodněním, vodovodem a plynovodem.</w:t>
      </w:r>
    </w:p>
    <w:p w:rsidR="00284D23" w:rsidRPr="00284D23" w:rsidRDefault="00284D23">
      <w:pPr>
        <w:rPr>
          <w:rFonts w:asciiTheme="minorHAnsi" w:hAnsiTheme="minorHAnsi" w:cstheme="minorHAnsi"/>
        </w:rPr>
      </w:pPr>
    </w:p>
    <w:sectPr w:rsidR="00284D23" w:rsidRPr="00284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23"/>
    <w:rsid w:val="00284D23"/>
    <w:rsid w:val="0074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4499"/>
  <w15:chartTrackingRefBased/>
  <w15:docId w15:val="{254FC288-0EDC-4F42-8B3D-415458A9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84D2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6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Hegr Ladislav</dc:creator>
  <cp:keywords/>
  <dc:description/>
  <cp:lastModifiedBy>Hegr Ladislav</cp:lastModifiedBy>
  <cp:revision>1</cp:revision>
  <dcterms:created xsi:type="dcterms:W3CDTF">2020-08-25T07:18:00Z</dcterms:created>
  <dcterms:modified xsi:type="dcterms:W3CDTF">2020-08-25T07:21:00Z</dcterms:modified>
</cp:coreProperties>
</file>